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w:t>
      </w:r>
    </w:p>
    <w:p>
      <w:r>
        <w:t>Bundesgericht (BGE), 1985-02-01, FR</w:t>
      </w:r>
    </w:p>
    <w:p>
      <w:r>
        <w:rPr>
          <w:b/>
        </w:rPr>
        <w:t xml:space="preserve">Quelle: </w:t>
      </w:r>
      <w:r>
        <w:t>https://mcp.opencaselaw.ch/entscheid/bge_121 IV 1</w:t>
      </w:r>
    </w:p>
    <w:p>
      <w:r>
        <w:t>FR: ATF 121 IV 1</w:t>
      </w:r>
    </w:p>
    <w:p>
      <w:r>
        <w:t>IT: DTF 121 IV 1</w:t>
      </w:r>
    </w:p>
    <w:p>
      <w:pPr>
        <w:pStyle w:val="Heading2"/>
      </w:pPr>
      <w:r>
        <w:t>Regeste</w:t>
      </w:r>
    </w:p>
    <w:p>
      <w:r>
        <w:t>Regeste Art. 43, 45 Ziff. 1 StGB; Verwahrung in einer psychiatrischen Klinik, Prüfung der probeweisen Entlassung, psychiatrisches Gutachten eines unabhängigen Sachverständigen. Prüft die zuständige Behörde, ob und wann die probeweise Entlassung aus einer psychiatrischen Klinik anzuordnen ist, muss sie nach den Umständen des Falls auf Gesuch des Betroffenen ein Gutachten eines unabhängigen psychiatrischen Sachverständigen einholen (E. 2).</w:t>
      </w:r>
    </w:p>
    <w:p>
      <w:pPr>
        <w:pStyle w:val="Heading2"/>
      </w:pPr>
      <w:r>
        <w:t>Erwägungen</w:t>
      </w:r>
    </w:p>
    <w:p>
      <w:r>
        <w:rPr>
          <w:b/>
        </w:rPr>
        <w:t>E. 2</w:t>
      </w:r>
    </w:p>
    <w:p>
      <w:r>
        <w:t>Le recourant reproche à l'autorité cantonale de n'avoir pas sollicité l'avis d'un médecin indépendant compte tenu de l'atteinte à la liberté personnelle que représente l'internement en hôpital psychiatrique. L'autorité compétente doit examiner d'office si et quand la libération conditionnelle ou à l'essai d'une mesure selon l'art. 43 CP doit être ordonnée; en matière de libération conditionnelle ou à l'essai de l'un des établissements prévus à l'art. 43 CP, elle doit prendre une décision au moins une fois par an; l'intéressé ou son représentant doit toujours être entendu préalablement et un rapport de la direction de l'établissement doit être requis (art. 45 ch. 1 CP). Il est vrai que l'art. 45 ch. 1 al. 3 CP n'exige expressément qu'un rapport de la direction de l'établissement. Le sens de cette disposition n'exclut cependant pas d'emblée que, dans certains cas, sur requête de l'intéressé, l'avis d'un expert-psychiatre indépendant soit requis. Il faut au contraire admettre que, compte tenu de l'importance de l'opinion d'un expert pour statuer sur une libération conditionnelle ou à l'essai, il peut se justifier dans certains cas de requérir sur ce point l'avis d'un expert qui jusque là ne s'est pas occupé du cas de l'intéressé. Cela ne signifie pas que l'avis d'un expert indépendant doive toujours être requis, notamment que l'autorité compétente qui doit prendre une décision au moins une fois par an doive chaque fois requérir un tel avis; le texte de l'art. 45 ch. 1 al. 3 CP ne permet pas de poser une telle exigence. La question de savoir quand et à quelles conditions l'avis d'un expert indépendant doit être demandé dépend des circonstances du cas concret et il faut en tout cas que l'intéressé ait présenté une requête en ce sens. BGE 121 IV 1 S. 3 En l'espèce, on peut se demander si, compte tenu des circonstances du cas d'espèce, notamment du fait que le recourant est interné depuis près de dix ans, l'avis d'un expert indépendant n'eût pas dû être requis. La question peut toutefois demeurer indécise dès lors que jusqu'ici le recourant n'a pas présenté de requête en ce sens en instance cantonale. Il n'est donc pas possible de donner suite à celle qu'il formule pour la première fois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